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88F" w:rsidRPr="001518AD" w:rsidRDefault="00D9288F" w:rsidP="001518AD">
      <w:pPr>
        <w:jc w:val="both"/>
        <w:rPr>
          <w:rFonts w:ascii="Arial" w:hAnsi="Arial" w:cs="Arial"/>
          <w:sz w:val="24"/>
          <w:szCs w:val="24"/>
        </w:rPr>
      </w:pPr>
    </w:p>
    <w:p w:rsidR="00D9288F" w:rsidRPr="001518AD" w:rsidRDefault="00D9288F" w:rsidP="001518AD">
      <w:pPr>
        <w:jc w:val="center"/>
        <w:rPr>
          <w:rFonts w:ascii="Arial" w:hAnsi="Arial" w:cs="Arial"/>
          <w:sz w:val="24"/>
          <w:szCs w:val="24"/>
        </w:rPr>
      </w:pPr>
      <w:r w:rsidRPr="001518AD">
        <w:rPr>
          <w:rFonts w:ascii="Arial" w:hAnsi="Arial" w:cs="Arial"/>
          <w:b/>
          <w:sz w:val="24"/>
          <w:szCs w:val="24"/>
        </w:rPr>
        <w:t>Las reservas de agua y los humedales</w:t>
      </w:r>
      <w:r>
        <w:rPr>
          <w:rFonts w:ascii="Arial" w:hAnsi="Arial" w:cs="Arial"/>
          <w:b/>
          <w:sz w:val="24"/>
          <w:szCs w:val="24"/>
        </w:rPr>
        <w:br/>
      </w:r>
    </w:p>
    <w:p w:rsidR="00D9288F" w:rsidRPr="001518AD" w:rsidRDefault="00D9288F" w:rsidP="001518AD">
      <w:pPr>
        <w:jc w:val="center"/>
        <w:rPr>
          <w:rFonts w:ascii="Arial" w:hAnsi="Arial" w:cs="Arial"/>
          <w:i/>
          <w:sz w:val="24"/>
          <w:szCs w:val="24"/>
        </w:rPr>
      </w:pPr>
      <w:r w:rsidRPr="001518AD">
        <w:rPr>
          <w:rFonts w:ascii="Arial" w:hAnsi="Arial" w:cs="Arial"/>
          <w:i/>
          <w:sz w:val="24"/>
          <w:szCs w:val="24"/>
        </w:rPr>
        <w:t>Ignacio D. González Mora</w:t>
      </w:r>
    </w:p>
    <w:p w:rsidR="00D9288F" w:rsidRPr="001518AD" w:rsidRDefault="00D9288F" w:rsidP="001518AD">
      <w:pPr>
        <w:jc w:val="center"/>
        <w:rPr>
          <w:rFonts w:ascii="Arial" w:hAnsi="Arial" w:cs="Arial"/>
          <w:b/>
          <w:sz w:val="24"/>
          <w:szCs w:val="24"/>
        </w:rPr>
      </w:pPr>
    </w:p>
    <w:p w:rsidR="00D9288F" w:rsidRPr="001518AD" w:rsidRDefault="00D9288F" w:rsidP="001518AD">
      <w:pPr>
        <w:jc w:val="both"/>
        <w:rPr>
          <w:rFonts w:ascii="Arial" w:hAnsi="Arial" w:cs="Arial"/>
          <w:b/>
          <w:sz w:val="24"/>
          <w:szCs w:val="24"/>
        </w:rPr>
      </w:pPr>
    </w:p>
    <w:p w:rsidR="00D9288F" w:rsidRPr="001518AD" w:rsidRDefault="00D9288F" w:rsidP="001518AD">
      <w:pPr>
        <w:jc w:val="center"/>
        <w:rPr>
          <w:rFonts w:ascii="Arial" w:hAnsi="Arial" w:cs="Arial"/>
          <w:b/>
          <w:sz w:val="24"/>
          <w:szCs w:val="24"/>
        </w:rPr>
      </w:pPr>
      <w:r w:rsidRPr="001518AD">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7.5pt;height:185.25pt">
            <v:imagedata r:id="rId7" o:title=""/>
          </v:shape>
        </w:pict>
      </w:r>
    </w:p>
    <w:p w:rsidR="00D9288F" w:rsidRPr="001518AD" w:rsidRDefault="00D9288F" w:rsidP="001518AD">
      <w:pPr>
        <w:jc w:val="both"/>
        <w:rPr>
          <w:rFonts w:ascii="Arial" w:hAnsi="Arial" w:cs="Arial"/>
          <w:sz w:val="24"/>
          <w:szCs w:val="24"/>
        </w:rPr>
      </w:pPr>
    </w:p>
    <w:p w:rsidR="00D9288F" w:rsidRPr="001518AD" w:rsidRDefault="00D9288F" w:rsidP="001518AD">
      <w:pPr>
        <w:jc w:val="both"/>
        <w:rPr>
          <w:rFonts w:ascii="Arial" w:hAnsi="Arial" w:cs="Arial"/>
          <w:sz w:val="24"/>
          <w:szCs w:val="24"/>
        </w:rPr>
      </w:pPr>
      <w:r w:rsidRPr="001518AD">
        <w:rPr>
          <w:rFonts w:ascii="Arial" w:hAnsi="Arial" w:cs="Arial"/>
          <w:sz w:val="24"/>
          <w:szCs w:val="24"/>
        </w:rPr>
        <w:t xml:space="preserve">La alianza entre WWF y </w:t>
      </w:r>
      <w:smartTag w:uri="urn:schemas-microsoft-com:office:smarttags" w:element="PersonName">
        <w:smartTagPr>
          <w:attr w:name="ProductID" w:val="la Fundación Gonzalo"/>
        </w:smartTagPr>
        <w:r w:rsidRPr="001518AD">
          <w:rPr>
            <w:rFonts w:ascii="Arial" w:hAnsi="Arial" w:cs="Arial"/>
            <w:sz w:val="24"/>
            <w:szCs w:val="24"/>
          </w:rPr>
          <w:t>la Fundación Gonzalo</w:t>
        </w:r>
      </w:smartTag>
      <w:r w:rsidRPr="001518AD">
        <w:rPr>
          <w:rFonts w:ascii="Arial" w:hAnsi="Arial" w:cs="Arial"/>
          <w:sz w:val="24"/>
          <w:szCs w:val="24"/>
        </w:rPr>
        <w:t xml:space="preserve"> Río Arronte (FGRA), con la colaboración de </w:t>
      </w:r>
      <w:smartTag w:uri="urn:schemas-microsoft-com:office:smarttags" w:element="PersonName">
        <w:smartTagPr>
          <w:attr w:name="ProductID" w:val="la CONAGUA"/>
        </w:smartTagPr>
        <w:r w:rsidRPr="001518AD">
          <w:rPr>
            <w:rFonts w:ascii="Arial" w:hAnsi="Arial" w:cs="Arial"/>
            <w:sz w:val="24"/>
            <w:szCs w:val="24"/>
          </w:rPr>
          <w:t>la CONAGUA</w:t>
        </w:r>
      </w:smartTag>
      <w:r w:rsidRPr="001518AD">
        <w:rPr>
          <w:rFonts w:ascii="Arial" w:hAnsi="Arial" w:cs="Arial"/>
          <w:sz w:val="24"/>
          <w:szCs w:val="24"/>
        </w:rPr>
        <w:t xml:space="preserve"> y un grupo de más de 100 especialistas, provenientes de 27 instituciones académicas y organizaciones, entidades de gobierno, usuarios de agua y comunidades, han venido trabajando en la determinación de caudales ecológicos en tres cuencas modelo: río Conchos (Chihuahua), ríos Copalita-Zimatán-Huatulco (Oaxaca) y río San Pedro Mezquital (Durango-Nayarit). Estos trabajos han generado experiencia práctica, a partir del mejor conocimiento disponible en México y el mundo, para establecer reservas de agua con fundamentos científicos, técnicos, sociales y económicos.</w:t>
      </w:r>
    </w:p>
    <w:p w:rsidR="00D9288F" w:rsidRDefault="00D9288F" w:rsidP="001518AD">
      <w:pPr>
        <w:spacing w:after="0"/>
        <w:jc w:val="both"/>
        <w:rPr>
          <w:rFonts w:ascii="Arial" w:hAnsi="Arial" w:cs="Arial"/>
          <w:sz w:val="24"/>
          <w:szCs w:val="24"/>
        </w:rPr>
      </w:pPr>
      <w:r w:rsidRPr="001518AD">
        <w:rPr>
          <w:rFonts w:ascii="Arial" w:hAnsi="Arial" w:cs="Arial"/>
          <w:sz w:val="24"/>
          <w:szCs w:val="24"/>
        </w:rPr>
        <w:t>Los resultados muestran que es factible estimar un balance sostenible de agua, representado por la determinación de un caudal ecológico que establece un equilibrio entre diferentes objetivos de conservación ambiental, funciones sociales y grados de presión sobre el recurso</w:t>
      </w:r>
      <w:r>
        <w:rPr>
          <w:rFonts w:ascii="Arial" w:hAnsi="Arial" w:cs="Arial"/>
          <w:sz w:val="24"/>
          <w:szCs w:val="24"/>
        </w:rPr>
        <w:t>.</w:t>
      </w:r>
    </w:p>
    <w:p w:rsidR="00D9288F" w:rsidRDefault="00D9288F" w:rsidP="001518AD">
      <w:pPr>
        <w:spacing w:after="0"/>
        <w:jc w:val="both"/>
        <w:rPr>
          <w:rFonts w:ascii="Arial" w:hAnsi="Arial" w:cs="Arial"/>
          <w:sz w:val="24"/>
          <w:szCs w:val="24"/>
        </w:rPr>
      </w:pPr>
    </w:p>
    <w:p w:rsidR="00D9288F" w:rsidRPr="001518AD" w:rsidRDefault="00D9288F" w:rsidP="001518AD">
      <w:pPr>
        <w:spacing w:after="0"/>
        <w:jc w:val="both"/>
        <w:rPr>
          <w:rFonts w:ascii="Arial" w:hAnsi="Arial" w:cs="Arial"/>
          <w:sz w:val="24"/>
          <w:szCs w:val="24"/>
          <w:u w:val="single"/>
          <w:lang w:val="es-ES"/>
        </w:rPr>
      </w:pPr>
      <w:r w:rsidRPr="001518AD">
        <w:rPr>
          <w:rFonts w:ascii="Arial" w:hAnsi="Arial" w:cs="Arial"/>
          <w:sz w:val="24"/>
          <w:szCs w:val="24"/>
        </w:rPr>
        <w:t>(</w:t>
      </w:r>
      <w:hyperlink r:id="rId8" w:history="1">
        <w:r w:rsidRPr="001518AD">
          <w:rPr>
            <w:rStyle w:val="Hyperlink"/>
            <w:rFonts w:ascii="Arial" w:hAnsi="Arial" w:cs="Arial"/>
            <w:sz w:val="24"/>
            <w:szCs w:val="24"/>
            <w:lang w:val="es-ES"/>
          </w:rPr>
          <w:t>http://www.wwf.org.mx/wwfmex/prog_cuencas-reservas-de-agua.php</w:t>
        </w:r>
      </w:hyperlink>
    </w:p>
    <w:p w:rsidR="00D9288F" w:rsidRPr="001518AD" w:rsidRDefault="00D9288F" w:rsidP="001518AD">
      <w:pPr>
        <w:spacing w:after="0"/>
        <w:jc w:val="both"/>
        <w:rPr>
          <w:rFonts w:ascii="Arial" w:hAnsi="Arial" w:cs="Arial"/>
          <w:sz w:val="24"/>
          <w:szCs w:val="24"/>
        </w:rPr>
      </w:pPr>
      <w:hyperlink r:id="rId9" w:history="1">
        <w:r w:rsidRPr="001518AD">
          <w:rPr>
            <w:rStyle w:val="Hyperlink"/>
            <w:rFonts w:ascii="Arial" w:hAnsi="Arial" w:cs="Arial"/>
            <w:sz w:val="24"/>
            <w:szCs w:val="24"/>
          </w:rPr>
          <w:t>http://www.conagua.gob.mx/CONAGUA07/Publicaciones/Publicaciones/SGT-3-11Media.pdf</w:t>
        </w:r>
      </w:hyperlink>
      <w:r w:rsidRPr="001518AD">
        <w:rPr>
          <w:rFonts w:ascii="Arial" w:hAnsi="Arial" w:cs="Arial"/>
          <w:sz w:val="24"/>
          <w:szCs w:val="24"/>
        </w:rPr>
        <w:t>).</w:t>
      </w:r>
    </w:p>
    <w:p w:rsidR="00D9288F" w:rsidRPr="001518AD" w:rsidRDefault="00D9288F" w:rsidP="001518AD">
      <w:pPr>
        <w:spacing w:after="0"/>
        <w:jc w:val="both"/>
        <w:rPr>
          <w:rFonts w:ascii="Arial" w:hAnsi="Arial" w:cs="Arial"/>
          <w:sz w:val="24"/>
          <w:szCs w:val="24"/>
        </w:rPr>
      </w:pPr>
    </w:p>
    <w:p w:rsidR="00D9288F" w:rsidRPr="001518AD" w:rsidRDefault="00D9288F" w:rsidP="001518AD">
      <w:pPr>
        <w:jc w:val="both"/>
        <w:rPr>
          <w:rFonts w:ascii="Arial" w:hAnsi="Arial" w:cs="Arial"/>
          <w:sz w:val="24"/>
          <w:szCs w:val="24"/>
        </w:rPr>
      </w:pPr>
      <w:r w:rsidRPr="001518AD">
        <w:rPr>
          <w:rFonts w:ascii="Arial" w:hAnsi="Arial" w:cs="Arial"/>
          <w:sz w:val="24"/>
          <w:szCs w:val="24"/>
        </w:rPr>
        <w:t>A través de la comparación y análisis de resultados, se identificaron 189 unidades de gestión (cuencas hidrológicas) con características favorables para su decreto como reservas de agua en tres niveles de factibilidad: 19 cuencas con factibilidad “muy alta”, 54 con factibilidad “alta” y 116 con factibilidad “media”.</w:t>
      </w:r>
    </w:p>
    <w:p w:rsidR="00D9288F" w:rsidRPr="001518AD" w:rsidRDefault="00D9288F" w:rsidP="001518AD">
      <w:pPr>
        <w:jc w:val="both"/>
        <w:rPr>
          <w:rFonts w:ascii="Arial" w:hAnsi="Arial" w:cs="Arial"/>
          <w:sz w:val="24"/>
          <w:szCs w:val="24"/>
        </w:rPr>
      </w:pPr>
      <w:r w:rsidRPr="001518AD">
        <w:rPr>
          <w:rFonts w:ascii="Arial" w:hAnsi="Arial" w:cs="Arial"/>
          <w:sz w:val="24"/>
          <w:szCs w:val="24"/>
        </w:rPr>
        <w:t xml:space="preserve">Con esta propuesta se lograrían resultados sin precedentes por parte del Gobierno de México para conservar la rica biodiversidad del país, ya que se garantizaría la funcionalidad ecológica (en términos de su hidrología) en 97 ANP (50% del total) y 55 de los humedales (41% del total) con importancia internacional bajo </w:t>
      </w:r>
      <w:smartTag w:uri="urn:schemas-microsoft-com:office:smarttags" w:element="PersonName">
        <w:smartTagPr>
          <w:attr w:name="ProductID" w:val="la Convención Ramsar."/>
        </w:smartTagPr>
        <w:r w:rsidRPr="001518AD">
          <w:rPr>
            <w:rFonts w:ascii="Arial" w:hAnsi="Arial" w:cs="Arial"/>
            <w:sz w:val="24"/>
            <w:szCs w:val="24"/>
          </w:rPr>
          <w:t>la Convención Ramsar.</w:t>
        </w:r>
      </w:smartTag>
    </w:p>
    <w:p w:rsidR="00D9288F" w:rsidRPr="001518AD" w:rsidRDefault="00D9288F" w:rsidP="001518AD">
      <w:pPr>
        <w:jc w:val="both"/>
        <w:rPr>
          <w:rFonts w:ascii="Arial" w:hAnsi="Arial" w:cs="Arial"/>
          <w:sz w:val="24"/>
          <w:szCs w:val="24"/>
        </w:rPr>
      </w:pPr>
      <w:r w:rsidRPr="001518AD">
        <w:rPr>
          <w:rFonts w:ascii="Arial" w:hAnsi="Arial" w:cs="Arial"/>
          <w:sz w:val="24"/>
          <w:szCs w:val="24"/>
        </w:rPr>
        <w:t>En nuestro país, a los humedales, aún aquellos de importancia internacional, se les ha asegurado a través de las herramientas de gestión de la política ambiental, la regulación del manejo del territorio y de la biodiversidad, pero hasta el momento no existe regulación alguna sobre el agua, que es el componente vital para la existencia de los humedales.</w:t>
      </w:r>
    </w:p>
    <w:p w:rsidR="00D9288F" w:rsidRPr="001518AD" w:rsidRDefault="00D9288F" w:rsidP="001518AD">
      <w:pPr>
        <w:jc w:val="both"/>
        <w:rPr>
          <w:rFonts w:ascii="Arial" w:hAnsi="Arial" w:cs="Arial"/>
          <w:sz w:val="24"/>
          <w:szCs w:val="24"/>
        </w:rPr>
      </w:pPr>
      <w:r w:rsidRPr="001518AD">
        <w:rPr>
          <w:rFonts w:ascii="Arial" w:hAnsi="Arial" w:cs="Arial"/>
          <w:sz w:val="24"/>
          <w:szCs w:val="24"/>
        </w:rPr>
        <w:t>Es fundamental para la existencia de los humedales que su gestión se realice a través del enfoque de cuenca y se reserve los volúmenes de agua necesarios para mantener su funcionalidad ecológica.</w:t>
      </w:r>
    </w:p>
    <w:sectPr w:rsidR="00D9288F" w:rsidRPr="001518AD" w:rsidSect="004025EE">
      <w:head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88F" w:rsidRDefault="00D9288F">
      <w:r>
        <w:separator/>
      </w:r>
    </w:p>
  </w:endnote>
  <w:endnote w:type="continuationSeparator" w:id="0">
    <w:p w:rsidR="00D9288F" w:rsidRDefault="00D928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88F" w:rsidRDefault="00D9288F">
      <w:r>
        <w:separator/>
      </w:r>
    </w:p>
  </w:footnote>
  <w:footnote w:type="continuationSeparator" w:id="0">
    <w:p w:rsidR="00D9288F" w:rsidRDefault="00D928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8F" w:rsidRDefault="00D9288F" w:rsidP="001518A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75pt;height:48.7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375B2"/>
    <w:multiLevelType w:val="hybridMultilevel"/>
    <w:tmpl w:val="ED846E62"/>
    <w:lvl w:ilvl="0" w:tplc="189A2D96">
      <w:start w:val="1"/>
      <w:numFmt w:val="bullet"/>
      <w:lvlText w:val=""/>
      <w:lvlJc w:val="left"/>
      <w:pPr>
        <w:tabs>
          <w:tab w:val="num" w:pos="720"/>
        </w:tabs>
        <w:ind w:left="720" w:hanging="360"/>
      </w:pPr>
      <w:rPr>
        <w:rFonts w:ascii="Wingdings" w:hAnsi="Wingdings" w:hint="default"/>
      </w:rPr>
    </w:lvl>
    <w:lvl w:ilvl="1" w:tplc="2FF2ABF2" w:tentative="1">
      <w:start w:val="1"/>
      <w:numFmt w:val="bullet"/>
      <w:lvlText w:val=""/>
      <w:lvlJc w:val="left"/>
      <w:pPr>
        <w:tabs>
          <w:tab w:val="num" w:pos="1440"/>
        </w:tabs>
        <w:ind w:left="1440" w:hanging="360"/>
      </w:pPr>
      <w:rPr>
        <w:rFonts w:ascii="Wingdings" w:hAnsi="Wingdings" w:hint="default"/>
      </w:rPr>
    </w:lvl>
    <w:lvl w:ilvl="2" w:tplc="D3029A6C" w:tentative="1">
      <w:start w:val="1"/>
      <w:numFmt w:val="bullet"/>
      <w:lvlText w:val=""/>
      <w:lvlJc w:val="left"/>
      <w:pPr>
        <w:tabs>
          <w:tab w:val="num" w:pos="2160"/>
        </w:tabs>
        <w:ind w:left="2160" w:hanging="360"/>
      </w:pPr>
      <w:rPr>
        <w:rFonts w:ascii="Wingdings" w:hAnsi="Wingdings" w:hint="default"/>
      </w:rPr>
    </w:lvl>
    <w:lvl w:ilvl="3" w:tplc="CBB0A794" w:tentative="1">
      <w:start w:val="1"/>
      <w:numFmt w:val="bullet"/>
      <w:lvlText w:val=""/>
      <w:lvlJc w:val="left"/>
      <w:pPr>
        <w:tabs>
          <w:tab w:val="num" w:pos="2880"/>
        </w:tabs>
        <w:ind w:left="2880" w:hanging="360"/>
      </w:pPr>
      <w:rPr>
        <w:rFonts w:ascii="Wingdings" w:hAnsi="Wingdings" w:hint="default"/>
      </w:rPr>
    </w:lvl>
    <w:lvl w:ilvl="4" w:tplc="49000ADA" w:tentative="1">
      <w:start w:val="1"/>
      <w:numFmt w:val="bullet"/>
      <w:lvlText w:val=""/>
      <w:lvlJc w:val="left"/>
      <w:pPr>
        <w:tabs>
          <w:tab w:val="num" w:pos="3600"/>
        </w:tabs>
        <w:ind w:left="3600" w:hanging="360"/>
      </w:pPr>
      <w:rPr>
        <w:rFonts w:ascii="Wingdings" w:hAnsi="Wingdings" w:hint="default"/>
      </w:rPr>
    </w:lvl>
    <w:lvl w:ilvl="5" w:tplc="B80C2E28" w:tentative="1">
      <w:start w:val="1"/>
      <w:numFmt w:val="bullet"/>
      <w:lvlText w:val=""/>
      <w:lvlJc w:val="left"/>
      <w:pPr>
        <w:tabs>
          <w:tab w:val="num" w:pos="4320"/>
        </w:tabs>
        <w:ind w:left="4320" w:hanging="360"/>
      </w:pPr>
      <w:rPr>
        <w:rFonts w:ascii="Wingdings" w:hAnsi="Wingdings" w:hint="default"/>
      </w:rPr>
    </w:lvl>
    <w:lvl w:ilvl="6" w:tplc="1592D970" w:tentative="1">
      <w:start w:val="1"/>
      <w:numFmt w:val="bullet"/>
      <w:lvlText w:val=""/>
      <w:lvlJc w:val="left"/>
      <w:pPr>
        <w:tabs>
          <w:tab w:val="num" w:pos="5040"/>
        </w:tabs>
        <w:ind w:left="5040" w:hanging="360"/>
      </w:pPr>
      <w:rPr>
        <w:rFonts w:ascii="Wingdings" w:hAnsi="Wingdings" w:hint="default"/>
      </w:rPr>
    </w:lvl>
    <w:lvl w:ilvl="7" w:tplc="37062F54" w:tentative="1">
      <w:start w:val="1"/>
      <w:numFmt w:val="bullet"/>
      <w:lvlText w:val=""/>
      <w:lvlJc w:val="left"/>
      <w:pPr>
        <w:tabs>
          <w:tab w:val="num" w:pos="5760"/>
        </w:tabs>
        <w:ind w:left="5760" w:hanging="360"/>
      </w:pPr>
      <w:rPr>
        <w:rFonts w:ascii="Wingdings" w:hAnsi="Wingdings" w:hint="default"/>
      </w:rPr>
    </w:lvl>
    <w:lvl w:ilvl="8" w:tplc="17987DE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38A0"/>
    <w:rsid w:val="00014672"/>
    <w:rsid w:val="000436DD"/>
    <w:rsid w:val="000F5FB6"/>
    <w:rsid w:val="00112F61"/>
    <w:rsid w:val="001518AD"/>
    <w:rsid w:val="00257B7F"/>
    <w:rsid w:val="004025EE"/>
    <w:rsid w:val="004055B8"/>
    <w:rsid w:val="00441F9B"/>
    <w:rsid w:val="005E6933"/>
    <w:rsid w:val="00681AA0"/>
    <w:rsid w:val="006B75FE"/>
    <w:rsid w:val="007B182F"/>
    <w:rsid w:val="008B2C29"/>
    <w:rsid w:val="009B4989"/>
    <w:rsid w:val="00AB33C7"/>
    <w:rsid w:val="00B438A0"/>
    <w:rsid w:val="00BB733D"/>
    <w:rsid w:val="00C57C90"/>
    <w:rsid w:val="00D9288F"/>
    <w:rsid w:val="00F03DFE"/>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Calibri" w:hAnsi="Garamond"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5EE"/>
    <w:pPr>
      <w:spacing w:after="120"/>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81AA0"/>
    <w:rPr>
      <w:rFonts w:cs="Times New Roman"/>
      <w:color w:val="0000FF"/>
      <w:u w:val="single"/>
    </w:rPr>
  </w:style>
  <w:style w:type="character" w:styleId="FollowedHyperlink">
    <w:name w:val="FollowedHyperlink"/>
    <w:basedOn w:val="DefaultParagraphFont"/>
    <w:uiPriority w:val="99"/>
    <w:semiHidden/>
    <w:rsid w:val="005E6933"/>
    <w:rPr>
      <w:rFonts w:cs="Times New Roman"/>
      <w:color w:val="800080"/>
      <w:u w:val="single"/>
    </w:rPr>
  </w:style>
  <w:style w:type="paragraph" w:styleId="Header">
    <w:name w:val="header"/>
    <w:basedOn w:val="Normal"/>
    <w:link w:val="HeaderChar"/>
    <w:uiPriority w:val="99"/>
    <w:rsid w:val="001518AD"/>
    <w:pPr>
      <w:tabs>
        <w:tab w:val="center" w:pos="4252"/>
        <w:tab w:val="right" w:pos="8504"/>
      </w:tabs>
    </w:pPr>
  </w:style>
  <w:style w:type="character" w:customStyle="1" w:styleId="HeaderChar">
    <w:name w:val="Header Char"/>
    <w:basedOn w:val="DefaultParagraphFont"/>
    <w:link w:val="Header"/>
    <w:uiPriority w:val="99"/>
    <w:semiHidden/>
    <w:rsid w:val="00CC2B74"/>
    <w:rPr>
      <w:lang w:eastAsia="en-US"/>
    </w:rPr>
  </w:style>
  <w:style w:type="paragraph" w:styleId="Footer">
    <w:name w:val="footer"/>
    <w:basedOn w:val="Normal"/>
    <w:link w:val="FooterChar"/>
    <w:uiPriority w:val="99"/>
    <w:rsid w:val="001518AD"/>
    <w:pPr>
      <w:tabs>
        <w:tab w:val="center" w:pos="4252"/>
        <w:tab w:val="right" w:pos="8504"/>
      </w:tabs>
    </w:pPr>
  </w:style>
  <w:style w:type="character" w:customStyle="1" w:styleId="FooterChar">
    <w:name w:val="Footer Char"/>
    <w:basedOn w:val="DefaultParagraphFont"/>
    <w:link w:val="Footer"/>
    <w:uiPriority w:val="99"/>
    <w:semiHidden/>
    <w:rsid w:val="00CC2B74"/>
    <w:rPr>
      <w:lang w:eastAsia="en-US"/>
    </w:rPr>
  </w:style>
</w:styles>
</file>

<file path=word/webSettings.xml><?xml version="1.0" encoding="utf-8"?>
<w:webSettings xmlns:r="http://schemas.openxmlformats.org/officeDocument/2006/relationships" xmlns:w="http://schemas.openxmlformats.org/wordprocessingml/2006/main">
  <w:divs>
    <w:div w:id="1255626203">
      <w:marLeft w:val="0"/>
      <w:marRight w:val="0"/>
      <w:marTop w:val="0"/>
      <w:marBottom w:val="0"/>
      <w:divBdr>
        <w:top w:val="none" w:sz="0" w:space="0" w:color="auto"/>
        <w:left w:val="none" w:sz="0" w:space="0" w:color="auto"/>
        <w:bottom w:val="none" w:sz="0" w:space="0" w:color="auto"/>
        <w:right w:val="none" w:sz="0" w:space="0" w:color="auto"/>
      </w:divBdr>
      <w:divsChild>
        <w:div w:id="1255626201">
          <w:marLeft w:val="288"/>
          <w:marRight w:val="0"/>
          <w:marTop w:val="0"/>
          <w:marBottom w:val="120"/>
          <w:divBdr>
            <w:top w:val="none" w:sz="0" w:space="0" w:color="auto"/>
            <w:left w:val="none" w:sz="0" w:space="0" w:color="auto"/>
            <w:bottom w:val="none" w:sz="0" w:space="0" w:color="auto"/>
            <w:right w:val="none" w:sz="0" w:space="0" w:color="auto"/>
          </w:divBdr>
        </w:div>
        <w:div w:id="1255626202">
          <w:marLeft w:val="288"/>
          <w:marRight w:val="0"/>
          <w:marTop w:val="30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wf.org.mx/wwfmex/prog_cuencas-reservas-de-agua.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agua.gob.mx/CONAGUA07/Publicaciones/Publicaciones/SGT-3-11Med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391</Words>
  <Characters>2152</Characters>
  <Application>Microsoft Office Outlook</Application>
  <DocSecurity>0</DocSecurity>
  <Lines>0</Lines>
  <Paragraphs>0</Paragraphs>
  <ScaleCrop>false</ScaleCrop>
  <Company>WWF Mexico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reservas de agua y los humedales</dc:title>
  <dc:subject/>
  <dc:creator>Ignacio González</dc:creator>
  <cp:keywords/>
  <dc:description/>
  <cp:lastModifiedBy>agua01</cp:lastModifiedBy>
  <cp:revision>3</cp:revision>
  <dcterms:created xsi:type="dcterms:W3CDTF">2012-02-01T15:15:00Z</dcterms:created>
  <dcterms:modified xsi:type="dcterms:W3CDTF">2012-02-01T22:11:00Z</dcterms:modified>
</cp:coreProperties>
</file>